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10BB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</w:p>
    <w:p w14:paraId="68FECC78" w14:textId="77777777"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25"/>
        <w:gridCol w:w="3650"/>
        <w:gridCol w:w="2064"/>
      </w:tblGrid>
      <w:tr w:rsidR="00600688" w:rsidRPr="00712607" w14:paraId="275CAFAC" w14:textId="77777777" w:rsidTr="00E74604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14:paraId="11F6FF13" w14:textId="77777777" w:rsidR="00600688" w:rsidRPr="00712607" w:rsidRDefault="00600688" w:rsidP="00712607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7664E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664EF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14:paraId="4BA42975" w14:textId="77777777" w:rsidR="00600688" w:rsidRPr="00712607" w:rsidRDefault="003935D2" w:rsidP="00712607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7664EF">
              <w:rPr>
                <w:rFonts w:ascii="Arial" w:hAnsi="Arial" w:cs="Arial"/>
                <w:b/>
                <w:sz w:val="16"/>
                <w:szCs w:val="16"/>
              </w:rPr>
              <w:t>Staf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14:paraId="73D75820" w14:textId="77777777" w:rsidR="00600688" w:rsidRPr="00712607" w:rsidRDefault="003935D2" w:rsidP="00712607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5350A">
              <w:rPr>
                <w:rFonts w:ascii="Arial" w:hAnsi="Arial" w:cs="Arial"/>
                <w:b/>
                <w:sz w:val="16"/>
                <w:szCs w:val="16"/>
              </w:rPr>
              <w:t xml:space="preserve">maart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29CC30A1" w14:textId="77777777" w:rsidR="00600688" w:rsidRPr="00712607" w:rsidRDefault="00600688" w:rsidP="00712607">
      <w:pPr>
        <w:ind w:right="-6"/>
      </w:pPr>
    </w:p>
    <w:p w14:paraId="19724D7C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Context</w:t>
      </w:r>
    </w:p>
    <w:p w14:paraId="51133BFA" w14:textId="77777777" w:rsidR="00F63B6F" w:rsidRDefault="005C6CEE" w:rsidP="00712607">
      <w:pPr>
        <w:ind w:right="-6"/>
      </w:pPr>
      <w:r>
        <w:t xml:space="preserve">De administrateur I is gepositioneerd in een middelgroot of groot loonbedrijf, waar de administratie wordt uitgevoerd door </w:t>
      </w:r>
      <w:r w:rsidR="00874E64">
        <w:t>een</w:t>
      </w:r>
      <w:r>
        <w:t xml:space="preserve"> of enkele personen en de administrateur als allround financieel medewerker inzetbaar is. De functiehouder is verantwoordelijk voor de verzorging van de </w:t>
      </w:r>
      <w:r w:rsidRPr="00F97D50">
        <w:t>gehele administratie, inclusief de salarisadministratie (salarisberekening en verwerking door extern bureau</w:t>
      </w:r>
      <w:r w:rsidRPr="006B27A8">
        <w:t>)</w:t>
      </w:r>
      <w:r>
        <w:t xml:space="preserve">. </w:t>
      </w:r>
      <w:r w:rsidRPr="00F97D50">
        <w:t>Voor de inrichting van de financiële administratie, het opstellen van de jaarrekening, afhandeling van fiscale vraagstukken e.d. wordt gebruik gemaakt van externe ondersteuning en advies door de accountant</w:t>
      </w:r>
      <w:r w:rsidRPr="006B27A8">
        <w:t>.</w:t>
      </w:r>
    </w:p>
    <w:p w14:paraId="69F0CCEB" w14:textId="77777777" w:rsidR="005C6CEE" w:rsidRPr="00712607" w:rsidRDefault="005C6CEE" w:rsidP="00712607">
      <w:pPr>
        <w:ind w:right="-6"/>
      </w:pPr>
    </w:p>
    <w:p w14:paraId="55F2512D" w14:textId="77777777" w:rsidR="00600688" w:rsidRPr="00712607" w:rsidRDefault="00F63B6F" w:rsidP="00712607">
      <w:pPr>
        <w:ind w:right="-6"/>
      </w:pPr>
      <w:r>
        <w:t xml:space="preserve">De functie administrateur wordt onderscheiden op twee niveaus. </w:t>
      </w:r>
      <w:r w:rsidR="005C6CEE">
        <w:t xml:space="preserve">De verschillen tussen de administrateur I en II </w:t>
      </w:r>
      <w:r w:rsidR="00600688" w:rsidRPr="00712607">
        <w:t xml:space="preserve">zijn uitgewerkt in de </w:t>
      </w:r>
      <w:r w:rsidR="005C6CEE">
        <w:t>bijlage</w:t>
      </w:r>
      <w:r w:rsidR="00600688" w:rsidRPr="00712607">
        <w:t xml:space="preserve"> met Niveau-onderscheidende Kenmerken (NOK).</w:t>
      </w:r>
    </w:p>
    <w:p w14:paraId="4C210436" w14:textId="77777777" w:rsidR="00600688" w:rsidRDefault="00600688" w:rsidP="00712607">
      <w:pPr>
        <w:ind w:right="-6"/>
      </w:pPr>
    </w:p>
    <w:p w14:paraId="29AB75CB" w14:textId="77777777" w:rsidR="003935D2" w:rsidRPr="00C24A5C" w:rsidRDefault="003935D2" w:rsidP="003935D2">
      <w:pPr>
        <w:ind w:right="-6"/>
      </w:pPr>
      <w:r w:rsidRPr="00C24A5C">
        <w:t>Leidinggevende:</w:t>
      </w:r>
      <w:r w:rsidRPr="00C24A5C">
        <w:tab/>
      </w:r>
      <w:r w:rsidR="007664EF">
        <w:t>niet-vakinhoudelijk leidinggevende</w:t>
      </w:r>
    </w:p>
    <w:p w14:paraId="31D2AEFC" w14:textId="77777777" w:rsidR="003935D2" w:rsidRPr="00C24A5C" w:rsidRDefault="003935D2" w:rsidP="003935D2">
      <w:pPr>
        <w:ind w:right="-6"/>
      </w:pPr>
      <w:r w:rsidRPr="00C24A5C">
        <w:t>Geeft leiding aan:</w:t>
      </w:r>
      <w:r w:rsidRPr="00C24A5C">
        <w:tab/>
      </w:r>
      <w:r w:rsidR="005C6CEE">
        <w:t>niet van toepassing</w:t>
      </w:r>
    </w:p>
    <w:p w14:paraId="7A8FC2E6" w14:textId="77777777" w:rsidR="003935D2" w:rsidRPr="00712607" w:rsidRDefault="003935D2" w:rsidP="00712607">
      <w:pPr>
        <w:ind w:right="-6"/>
      </w:pPr>
    </w:p>
    <w:p w14:paraId="7834EB16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14:paraId="1E0355FF" w14:textId="77777777" w:rsidTr="00AF2F8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212B9CCF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212B87BE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600688" w:rsidRPr="00712607" w14:paraId="56834856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0106E68A" w14:textId="77777777" w:rsidR="00600688" w:rsidRPr="007664EF" w:rsidRDefault="007664EF" w:rsidP="00712607">
            <w:pPr>
              <w:ind w:right="-6"/>
            </w:pPr>
            <w:r w:rsidRPr="007664EF">
              <w:rPr>
                <w:b/>
              </w:rPr>
              <w:t>Lopende (financiële en salaris</w:t>
            </w:r>
            <w:r w:rsidR="00874E64">
              <w:rPr>
                <w:b/>
              </w:rPr>
              <w:t>-</w:t>
            </w:r>
            <w:r w:rsidRPr="007664EF">
              <w:rPr>
                <w:b/>
              </w:rPr>
              <w:t>)administratie</w:t>
            </w:r>
          </w:p>
          <w:p w14:paraId="00C6F9E1" w14:textId="77777777" w:rsidR="00600688" w:rsidRPr="007664EF" w:rsidRDefault="007664EF" w:rsidP="00712607">
            <w:pPr>
              <w:ind w:right="-6"/>
            </w:pPr>
            <w:r w:rsidRPr="007664EF">
              <w:t xml:space="preserve">Door het verwerken van financiële bescheiden en data is uitvoering gegeven aan de financiële administratie, alsmede aan de uit de diverse sub-administraties voortvloeiende activiteiten in het kader van crediteuren-, debiteuren-, </w:t>
            </w:r>
            <w:r w:rsidR="00421B0A">
              <w:t xml:space="preserve">projecten-, </w:t>
            </w:r>
            <w:r w:rsidRPr="007664EF">
              <w:t>voorraadbeheer, salarisverwerking en inhoudingen, afdrachten, de activa-administratie</w:t>
            </w:r>
            <w:r w:rsidR="00FB015C">
              <w:t>,</w:t>
            </w:r>
            <w:r w:rsidRPr="007664EF">
              <w:t xml:space="preserve"> e.d.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6C6CD3A0" w14:textId="77777777" w:rsidR="007664EF" w:rsidRPr="007664EF" w:rsidRDefault="007664EF" w:rsidP="007664EF">
            <w:pPr>
              <w:ind w:left="284" w:hanging="284"/>
            </w:pPr>
            <w:r w:rsidRPr="007664EF">
              <w:t>-</w:t>
            </w:r>
            <w:r w:rsidRPr="007664EF">
              <w:tab/>
              <w:t>tijdigheid, juistheid, volledigheid administratie, geen verschillen;</w:t>
            </w:r>
          </w:p>
          <w:p w14:paraId="25FF90E1" w14:textId="77777777" w:rsidR="007664EF" w:rsidRPr="007664EF" w:rsidRDefault="007664EF" w:rsidP="007664EF">
            <w:pPr>
              <w:ind w:left="284" w:hanging="284"/>
            </w:pPr>
            <w:r w:rsidRPr="007664EF">
              <w:t>-</w:t>
            </w:r>
            <w:r w:rsidRPr="007664EF">
              <w:tab/>
              <w:t xml:space="preserve">conform procedures, juiste toepassing (fiscale) regelingen; </w:t>
            </w:r>
          </w:p>
          <w:p w14:paraId="5865DAAF" w14:textId="77777777" w:rsidR="00600688" w:rsidRPr="007664EF" w:rsidRDefault="007664EF" w:rsidP="007664EF">
            <w:pPr>
              <w:ind w:left="284" w:hanging="284"/>
            </w:pPr>
            <w:r w:rsidRPr="007664EF">
              <w:t>-</w:t>
            </w:r>
            <w:r w:rsidRPr="007664EF">
              <w:tab/>
              <w:t>aard, omvang aanwijzingen accountant.</w:t>
            </w:r>
          </w:p>
        </w:tc>
      </w:tr>
      <w:tr w:rsidR="00600688" w:rsidRPr="00712607" w14:paraId="472BDE34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057AE024" w14:textId="77777777" w:rsidR="00600688" w:rsidRPr="007664EF" w:rsidRDefault="007664EF" w:rsidP="00712607">
            <w:pPr>
              <w:ind w:right="-6"/>
            </w:pPr>
            <w:r w:rsidRPr="007664EF">
              <w:rPr>
                <w:b/>
              </w:rPr>
              <w:t>(Voorbereiding) periodieke en jaarafsluiting</w:t>
            </w:r>
          </w:p>
          <w:p w14:paraId="55F570D6" w14:textId="77777777" w:rsidR="003A58AA" w:rsidRDefault="003A58AA" w:rsidP="00712607">
            <w:pPr>
              <w:ind w:right="-6"/>
            </w:pPr>
            <w:r>
              <w:t>O</w:t>
            </w:r>
            <w:r w:rsidR="007664EF" w:rsidRPr="007664EF">
              <w:t>nvolkomenheden in de financiële administratie</w:t>
            </w:r>
            <w:r>
              <w:t xml:space="preserve"> zijn</w:t>
            </w:r>
            <w:r w:rsidR="007664EF" w:rsidRPr="007664EF">
              <w:t xml:space="preserve"> hersteld en aanvullende boekingen</w:t>
            </w:r>
            <w:r>
              <w:t xml:space="preserve"> zijn</w:t>
            </w:r>
            <w:r w:rsidR="007664EF" w:rsidRPr="007664EF">
              <w:t xml:space="preserve"> verzorgd, op basis </w:t>
            </w:r>
            <w:r>
              <w:t>w</w:t>
            </w:r>
            <w:r w:rsidR="007664EF" w:rsidRPr="007664EF">
              <w:t xml:space="preserve">aarvan periodiek inzicht </w:t>
            </w:r>
            <w:r>
              <w:t xml:space="preserve">wordt verkregen </w:t>
            </w:r>
            <w:r w:rsidR="007664EF" w:rsidRPr="007664EF">
              <w:t>in de financiële resultaten en verschillen t.o.v. begroting, budgetten, inclusief toelichtingen</w:t>
            </w:r>
            <w:r>
              <w:t>,</w:t>
            </w:r>
            <w:r w:rsidR="007664EF" w:rsidRPr="007664EF">
              <w:t xml:space="preserve"> een en ander als input voor (bij)sturing door de bedrijfsleiding.</w:t>
            </w:r>
          </w:p>
          <w:p w14:paraId="43F69E94" w14:textId="77777777" w:rsidR="00600688" w:rsidRPr="007664EF" w:rsidRDefault="003A58AA" w:rsidP="00712607">
            <w:pPr>
              <w:ind w:right="-6"/>
            </w:pPr>
            <w:r>
              <w:t>Benodigde stukken en toelichtingen zijn verstrekt aan</w:t>
            </w:r>
            <w:r w:rsidR="007664EF" w:rsidRPr="007664EF">
              <w:t xml:space="preserve"> </w:t>
            </w:r>
            <w:r>
              <w:t>d</w:t>
            </w:r>
            <w:r w:rsidR="007664EF" w:rsidRPr="007664EF">
              <w:t xml:space="preserve">e accountant </w:t>
            </w:r>
            <w:r>
              <w:t>ten behoeve van</w:t>
            </w:r>
            <w:r w:rsidR="007664EF" w:rsidRPr="007664EF">
              <w:t xml:space="preserve"> goedkeur</w:t>
            </w:r>
            <w:r>
              <w:t>ing</w:t>
            </w:r>
            <w:r w:rsidR="007664EF" w:rsidRPr="007664EF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672E6FA0" w14:textId="77777777" w:rsidR="007664EF" w:rsidRPr="007664EF" w:rsidRDefault="007664EF" w:rsidP="007664EF">
            <w:pPr>
              <w:ind w:left="284" w:hanging="284"/>
              <w:rPr>
                <w:lang w:bidi="x-none"/>
              </w:rPr>
            </w:pPr>
            <w:r w:rsidRPr="007664EF">
              <w:rPr>
                <w:lang w:bidi="x-none"/>
              </w:rPr>
              <w:t>-</w:t>
            </w:r>
            <w:r w:rsidRPr="007664EF">
              <w:rPr>
                <w:lang w:bidi="x-none"/>
              </w:rPr>
              <w:tab/>
              <w:t xml:space="preserve">tijdigheid, juistheid van afsluitingen, </w:t>
            </w:r>
            <w:r w:rsidR="003A58AA">
              <w:rPr>
                <w:lang w:bidi="x-none"/>
              </w:rPr>
              <w:t>afwezigheid van</w:t>
            </w:r>
            <w:r w:rsidRPr="007664EF">
              <w:rPr>
                <w:lang w:bidi="x-none"/>
              </w:rPr>
              <w:t xml:space="preserve"> verschillen;</w:t>
            </w:r>
          </w:p>
          <w:p w14:paraId="7B7D417C" w14:textId="77777777" w:rsidR="007664EF" w:rsidRPr="007664EF" w:rsidRDefault="007664EF" w:rsidP="007664EF">
            <w:pPr>
              <w:ind w:left="284" w:hanging="284"/>
              <w:rPr>
                <w:lang w:bidi="x-none"/>
              </w:rPr>
            </w:pPr>
            <w:r w:rsidRPr="007664EF">
              <w:rPr>
                <w:lang w:bidi="x-none"/>
              </w:rPr>
              <w:t>-</w:t>
            </w:r>
            <w:r w:rsidRPr="007664EF">
              <w:rPr>
                <w:lang w:bidi="x-none"/>
              </w:rPr>
              <w:tab/>
              <w:t>managementinformatie aansluitend op behoeften;</w:t>
            </w:r>
          </w:p>
          <w:p w14:paraId="0F4635A0" w14:textId="77777777" w:rsidR="007664EF" w:rsidRPr="007664EF" w:rsidRDefault="007664EF" w:rsidP="007664EF">
            <w:pPr>
              <w:ind w:left="284" w:hanging="284"/>
              <w:rPr>
                <w:lang w:bidi="x-none"/>
              </w:rPr>
            </w:pPr>
            <w:r w:rsidRPr="007664EF">
              <w:rPr>
                <w:lang w:bidi="x-none"/>
              </w:rPr>
              <w:t>-</w:t>
            </w:r>
            <w:r w:rsidRPr="007664EF">
              <w:rPr>
                <w:lang w:bidi="x-none"/>
              </w:rPr>
              <w:tab/>
              <w:t>inzicht in oorzaak van (dreigende) afwijkingen, basis voor bijsturing;</w:t>
            </w:r>
          </w:p>
          <w:p w14:paraId="1383ED1B" w14:textId="77777777" w:rsidR="00600688" w:rsidRPr="007664EF" w:rsidRDefault="007664EF" w:rsidP="007664EF">
            <w:pPr>
              <w:ind w:left="284" w:hanging="284"/>
            </w:pPr>
            <w:r w:rsidRPr="007664EF">
              <w:rPr>
                <w:lang w:bidi="x-none"/>
              </w:rPr>
              <w:t>-</w:t>
            </w:r>
            <w:r w:rsidRPr="007664EF">
              <w:rPr>
                <w:lang w:bidi="x-none"/>
              </w:rPr>
              <w:tab/>
              <w:t>geaccordeerde jaarstukken door accountant.</w:t>
            </w:r>
          </w:p>
        </w:tc>
      </w:tr>
      <w:tr w:rsidR="00E46DA9" w:rsidRPr="00712607" w14:paraId="2A6DB641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8F84FF9" w14:textId="77777777" w:rsidR="00E46DA9" w:rsidRPr="00E17BB5" w:rsidRDefault="007664EF" w:rsidP="00574160">
            <w:pPr>
              <w:ind w:right="-6"/>
              <w:rPr>
                <w:b/>
              </w:rPr>
            </w:pPr>
            <w:r w:rsidRPr="007664EF">
              <w:rPr>
                <w:b/>
              </w:rPr>
              <w:t>Operationeel beheer financiële middelen</w:t>
            </w:r>
            <w:r w:rsidR="00E46DA9" w:rsidRPr="00E17BB5">
              <w:rPr>
                <w:b/>
              </w:rPr>
              <w:t xml:space="preserve"> </w:t>
            </w:r>
          </w:p>
          <w:p w14:paraId="6920F08D" w14:textId="77777777" w:rsidR="00E46DA9" w:rsidRPr="003A58AA" w:rsidRDefault="007664EF" w:rsidP="00E17BB5">
            <w:pPr>
              <w:ind w:right="-6"/>
            </w:pPr>
            <w:r w:rsidRPr="007664EF">
              <w:t>Door een effectief crediteuren- en debiteurenbeheer, inclusief afhandeling van incasso’s,</w:t>
            </w:r>
            <w:r w:rsidR="003A58AA">
              <w:t xml:space="preserve"> worden </w:t>
            </w:r>
            <w:r w:rsidRPr="007664EF">
              <w:t>financiële verplichtingen nagekomen en beschikt de organisatie over inzicht in het verloop van de liquiditeitspositie.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93D0C" w14:textId="77777777" w:rsidR="007664EF" w:rsidRPr="007664EF" w:rsidRDefault="007664EF" w:rsidP="00E17BB5">
            <w:pPr>
              <w:ind w:left="284" w:hanging="284"/>
            </w:pPr>
            <w:r w:rsidRPr="007664EF">
              <w:t>-</w:t>
            </w:r>
            <w:r w:rsidR="003A58AA">
              <w:tab/>
            </w:r>
            <w:r w:rsidRPr="007664EF">
              <w:t>aantal debiteurendagen;</w:t>
            </w:r>
          </w:p>
          <w:p w14:paraId="7067B772" w14:textId="77777777" w:rsidR="007664EF" w:rsidRPr="007664EF" w:rsidRDefault="007664EF" w:rsidP="00E17BB5">
            <w:pPr>
              <w:ind w:left="284" w:hanging="284"/>
            </w:pPr>
            <w:r w:rsidRPr="007664EF">
              <w:t>-</w:t>
            </w:r>
            <w:r w:rsidRPr="007664EF">
              <w:tab/>
              <w:t>efficiency betaalgedrag:</w:t>
            </w:r>
          </w:p>
          <w:p w14:paraId="55F57232" w14:textId="77777777" w:rsidR="007664EF" w:rsidRPr="007664EF" w:rsidRDefault="007664EF" w:rsidP="007664EF">
            <w:pPr>
              <w:ind w:left="284"/>
            </w:pPr>
            <w:r w:rsidRPr="007664EF">
              <w:t>.</w:t>
            </w:r>
            <w:r w:rsidRPr="007664EF">
              <w:tab/>
              <w:t>aantal crediteurendagen;</w:t>
            </w:r>
          </w:p>
          <w:p w14:paraId="442AC3A7" w14:textId="77777777" w:rsidR="007664EF" w:rsidRPr="007664EF" w:rsidRDefault="007664EF" w:rsidP="007664EF">
            <w:pPr>
              <w:ind w:left="284"/>
            </w:pPr>
            <w:r w:rsidRPr="007664EF">
              <w:t>.</w:t>
            </w:r>
            <w:r w:rsidRPr="007664EF">
              <w:tab/>
              <w:t>aantal aanmaningen;</w:t>
            </w:r>
          </w:p>
          <w:p w14:paraId="37A0AF31" w14:textId="77777777" w:rsidR="00E46DA9" w:rsidRPr="007664EF" w:rsidRDefault="007664EF" w:rsidP="003A58AA">
            <w:pPr>
              <w:ind w:left="284" w:hanging="284"/>
            </w:pPr>
            <w:r w:rsidRPr="007664EF">
              <w:t>-</w:t>
            </w:r>
            <w:r w:rsidRPr="007664EF">
              <w:tab/>
            </w:r>
            <w:r w:rsidR="003A58AA">
              <w:t>actueel inzicht in</w:t>
            </w:r>
            <w:r w:rsidRPr="007664EF">
              <w:t xml:space="preserve"> liquiditeits</w:t>
            </w:r>
            <w:r w:rsidR="003A58AA">
              <w:t>positie</w:t>
            </w:r>
            <w:r w:rsidRPr="007664EF">
              <w:t>.</w:t>
            </w:r>
          </w:p>
        </w:tc>
      </w:tr>
      <w:tr w:rsidR="007664EF" w:rsidRPr="00712607" w14:paraId="402942CC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DF5B214" w14:textId="77777777" w:rsidR="007664EF" w:rsidRPr="007664EF" w:rsidRDefault="007664EF" w:rsidP="00574160">
            <w:pPr>
              <w:ind w:right="-6"/>
              <w:rPr>
                <w:b/>
              </w:rPr>
            </w:pPr>
            <w:r w:rsidRPr="007664EF">
              <w:rPr>
                <w:b/>
              </w:rPr>
              <w:t>In- en externe informatie-uitwisseling</w:t>
            </w:r>
          </w:p>
          <w:p w14:paraId="65BD9AA1" w14:textId="77777777" w:rsidR="007664EF" w:rsidRPr="007664EF" w:rsidRDefault="007664EF" w:rsidP="00574160">
            <w:pPr>
              <w:ind w:right="-6"/>
              <w:rPr>
                <w:b/>
              </w:rPr>
            </w:pPr>
            <w:r w:rsidRPr="007664EF">
              <w:t>In- en extern is de noodzakelijke informatie uitgewisseld, zijn vragen beantwoord en issues afgestemd voor een juiste afhandeling van de financiële en salarisadministratie, de afhandeling van betalingsvraagstukken, fiscale aangiftes, etc.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5E20BE0" w14:textId="77777777" w:rsidR="007664EF" w:rsidRPr="007664EF" w:rsidRDefault="007664EF" w:rsidP="007664EF">
            <w:pPr>
              <w:ind w:left="284" w:hanging="284"/>
            </w:pPr>
            <w:r w:rsidRPr="007664EF">
              <w:t>-</w:t>
            </w:r>
            <w:r w:rsidRPr="007664EF">
              <w:tab/>
              <w:t>aansluitend op vraagstelling, informatiebehoeften;</w:t>
            </w:r>
          </w:p>
          <w:p w14:paraId="3BEE4DBE" w14:textId="77777777" w:rsidR="007664EF" w:rsidRPr="007664EF" w:rsidRDefault="007664EF" w:rsidP="00E17BB5">
            <w:pPr>
              <w:ind w:left="284" w:hanging="284"/>
            </w:pPr>
            <w:r w:rsidRPr="007664EF">
              <w:t>-</w:t>
            </w:r>
            <w:r w:rsidR="003A58AA">
              <w:tab/>
            </w:r>
            <w:r w:rsidRPr="007664EF">
              <w:t>tevredenheid in- en externe partners over informatie-uitwisseling.</w:t>
            </w:r>
          </w:p>
        </w:tc>
      </w:tr>
      <w:tr w:rsidR="00E46DA9" w:rsidRPr="00C24A5C" w14:paraId="7EDE399F" w14:textId="77777777" w:rsidTr="00574160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09F45E9C" w14:textId="77777777" w:rsidR="00E46DA9" w:rsidRPr="00D23D4D" w:rsidRDefault="00E46DA9" w:rsidP="00574160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E46DA9" w:rsidRPr="00C24A5C" w14:paraId="1FAB5D8D" w14:textId="77777777" w:rsidTr="000F3F6B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557662" w14:textId="77777777" w:rsidR="00E46DA9" w:rsidRPr="00C24A5C" w:rsidRDefault="003E5E07" w:rsidP="00574160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Eenzijdige houding en belasting van oog-</w:t>
            </w:r>
            <w:r w:rsidR="00C80D66">
              <w:t>,</w:t>
            </w:r>
            <w:r>
              <w:t xml:space="preserve"> rug</w:t>
            </w:r>
            <w:r w:rsidR="00C80D66">
              <w:t>-, schouder- en arm</w:t>
            </w:r>
            <w:r>
              <w:t>spieren bij het werken met de computer.</w:t>
            </w:r>
          </w:p>
        </w:tc>
      </w:tr>
      <w:tr w:rsidR="000F3F6B" w:rsidRPr="00C24A5C" w14:paraId="01191DC5" w14:textId="77777777" w:rsidTr="000F3F6B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52FE4E92" w14:textId="536B1EFB" w:rsidR="000F3F6B" w:rsidRDefault="000F3F6B" w:rsidP="000F3F6B">
            <w:pPr>
              <w:ind w:left="284" w:hanging="284"/>
            </w:pPr>
            <w:r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0F3F6B" w:rsidRPr="00C24A5C" w14:paraId="6816CA5E" w14:textId="77777777" w:rsidTr="006803EE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E0DA14" w14:textId="77777777" w:rsidR="000F3F6B" w:rsidRPr="00D600DD" w:rsidRDefault="000F3F6B" w:rsidP="000F3F6B">
            <w:pPr>
              <w:ind w:left="284" w:hanging="284"/>
            </w:pPr>
            <w:r w:rsidRPr="00D600DD">
              <w:t>-</w:t>
            </w:r>
            <w:r w:rsidRPr="00D600DD">
              <w:tab/>
            </w:r>
            <w:r>
              <w:t>MBO+ werk- en denkniveau (richting administratie);</w:t>
            </w:r>
          </w:p>
          <w:p w14:paraId="5F1B1345" w14:textId="77777777" w:rsidR="000F3F6B" w:rsidRDefault="000F3F6B" w:rsidP="000F3F6B">
            <w:pPr>
              <w:ind w:left="284" w:hanging="284"/>
            </w:pPr>
            <w:r w:rsidRPr="00D600DD">
              <w:t>-</w:t>
            </w:r>
            <w:r w:rsidRPr="00D600DD">
              <w:tab/>
            </w:r>
            <w:r>
              <w:t>kennis van en ervaring met financiële processen;</w:t>
            </w:r>
          </w:p>
          <w:p w14:paraId="71C33009" w14:textId="2CBF2E63" w:rsidR="000F3F6B" w:rsidRDefault="000F3F6B" w:rsidP="000F3F6B">
            <w:pPr>
              <w:ind w:left="284" w:hanging="284"/>
              <w:rPr>
                <w:b/>
                <w:caps/>
                <w:color w:val="0D5554"/>
                <w:lang w:bidi="x-none"/>
              </w:rPr>
            </w:pPr>
            <w:r>
              <w:t>-</w:t>
            </w:r>
            <w:r>
              <w:tab/>
              <w:t>ervaring met de gehanteerde financiële pakketten</w:t>
            </w:r>
            <w:r w:rsidRPr="00D600DD">
              <w:t>.</w:t>
            </w:r>
          </w:p>
        </w:tc>
      </w:tr>
      <w:tr w:rsidR="000F3F6B" w:rsidRPr="00C24A5C" w14:paraId="094BE691" w14:textId="77777777" w:rsidTr="000F3F6B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7EFB49D2" w14:textId="648D6C51" w:rsidR="000F3F6B" w:rsidRDefault="000F3F6B" w:rsidP="000F3F6B">
            <w:pPr>
              <w:ind w:left="284" w:hanging="284"/>
            </w:pPr>
          </w:p>
        </w:tc>
      </w:tr>
    </w:tbl>
    <w:p w14:paraId="44C79807" w14:textId="77777777" w:rsidR="001E27BA" w:rsidRPr="00712607" w:rsidRDefault="001E27BA" w:rsidP="00712607"/>
    <w:p w14:paraId="38202E0B" w14:textId="77777777" w:rsidR="001E27BA" w:rsidRPr="00712607" w:rsidRDefault="001E27BA" w:rsidP="00712607"/>
    <w:p w14:paraId="45932C3F" w14:textId="77777777" w:rsidR="001E27BA" w:rsidRPr="00712607" w:rsidRDefault="001E27BA" w:rsidP="00712607"/>
    <w:p w14:paraId="3A1534F8" w14:textId="77777777" w:rsidR="001E27BA" w:rsidRPr="00712607" w:rsidRDefault="001E27BA" w:rsidP="00712607"/>
    <w:sectPr w:rsidR="001E27BA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7329A" w14:textId="77777777" w:rsidR="00CE6BDD" w:rsidRDefault="00CE6BDD" w:rsidP="0099201E">
      <w:r>
        <w:separator/>
      </w:r>
    </w:p>
  </w:endnote>
  <w:endnote w:type="continuationSeparator" w:id="0">
    <w:p w14:paraId="37DDBCA2" w14:textId="77777777" w:rsidR="00CE6BDD" w:rsidRDefault="00CE6BDD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AA17F7E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0A4CC8F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7A8F7E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33DFBBCD" w14:textId="53E3C871" w:rsidR="0099201E" w:rsidRPr="0019117C" w:rsidRDefault="0099201E" w:rsidP="0019117C">
    <w:pPr>
      <w:pStyle w:val="Voettekst"/>
      <w:tabs>
        <w:tab w:val="right" w:pos="9632"/>
        <w:tab w:val="right" w:pos="15026"/>
      </w:tabs>
      <w:ind w:right="-43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77AB" w14:textId="77777777" w:rsidR="00CE6BDD" w:rsidRDefault="00CE6BDD" w:rsidP="0099201E">
      <w:r>
        <w:separator/>
      </w:r>
    </w:p>
  </w:footnote>
  <w:footnote w:type="continuationSeparator" w:id="0">
    <w:p w14:paraId="02EE6B36" w14:textId="77777777" w:rsidR="00CE6BDD" w:rsidRDefault="00CE6BDD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1EB5" w14:textId="2CE47831" w:rsidR="00600688" w:rsidRPr="00600688" w:rsidRDefault="007664EF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ADMINISTRATEUR I</w:t>
    </w:r>
  </w:p>
  <w:p w14:paraId="4922CEF5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145D8"/>
    <w:rsid w:val="00073015"/>
    <w:rsid w:val="000741DF"/>
    <w:rsid w:val="00083F72"/>
    <w:rsid w:val="00086E69"/>
    <w:rsid w:val="00087C2C"/>
    <w:rsid w:val="000B7F47"/>
    <w:rsid w:val="000E2288"/>
    <w:rsid w:val="000F3F6B"/>
    <w:rsid w:val="000F7483"/>
    <w:rsid w:val="00106E05"/>
    <w:rsid w:val="001240A6"/>
    <w:rsid w:val="00182CB5"/>
    <w:rsid w:val="0019117C"/>
    <w:rsid w:val="001A27DD"/>
    <w:rsid w:val="001E27BA"/>
    <w:rsid w:val="001F7342"/>
    <w:rsid w:val="002126F6"/>
    <w:rsid w:val="00234B05"/>
    <w:rsid w:val="00343B60"/>
    <w:rsid w:val="00360010"/>
    <w:rsid w:val="003935D2"/>
    <w:rsid w:val="00397A57"/>
    <w:rsid w:val="003A58AA"/>
    <w:rsid w:val="003D402F"/>
    <w:rsid w:val="003E5E07"/>
    <w:rsid w:val="00405A69"/>
    <w:rsid w:val="00421B0A"/>
    <w:rsid w:val="00444B70"/>
    <w:rsid w:val="00462969"/>
    <w:rsid w:val="00471774"/>
    <w:rsid w:val="004E5FAF"/>
    <w:rsid w:val="004F7477"/>
    <w:rsid w:val="005400E4"/>
    <w:rsid w:val="0055566C"/>
    <w:rsid w:val="005614ED"/>
    <w:rsid w:val="005648FE"/>
    <w:rsid w:val="005955C4"/>
    <w:rsid w:val="005C6096"/>
    <w:rsid w:val="005C6CEE"/>
    <w:rsid w:val="005D31BF"/>
    <w:rsid w:val="005F5728"/>
    <w:rsid w:val="00600688"/>
    <w:rsid w:val="006566EC"/>
    <w:rsid w:val="006A32D9"/>
    <w:rsid w:val="006A5BC4"/>
    <w:rsid w:val="006C78DA"/>
    <w:rsid w:val="006D15B0"/>
    <w:rsid w:val="00712607"/>
    <w:rsid w:val="007213A4"/>
    <w:rsid w:val="007318D4"/>
    <w:rsid w:val="00763599"/>
    <w:rsid w:val="007664EF"/>
    <w:rsid w:val="007D3B8D"/>
    <w:rsid w:val="007D3E8E"/>
    <w:rsid w:val="007E3370"/>
    <w:rsid w:val="00810A85"/>
    <w:rsid w:val="00857CC5"/>
    <w:rsid w:val="00874E64"/>
    <w:rsid w:val="008803C1"/>
    <w:rsid w:val="008A1010"/>
    <w:rsid w:val="008A1799"/>
    <w:rsid w:val="008E10CE"/>
    <w:rsid w:val="008F2937"/>
    <w:rsid w:val="00961A36"/>
    <w:rsid w:val="00986D86"/>
    <w:rsid w:val="0099201E"/>
    <w:rsid w:val="009C4BE1"/>
    <w:rsid w:val="00A064D4"/>
    <w:rsid w:val="00AD4BFA"/>
    <w:rsid w:val="00AF20D6"/>
    <w:rsid w:val="00AF2F8A"/>
    <w:rsid w:val="00B27FD5"/>
    <w:rsid w:val="00B35FC4"/>
    <w:rsid w:val="00B54704"/>
    <w:rsid w:val="00B759B3"/>
    <w:rsid w:val="00BC2A79"/>
    <w:rsid w:val="00C13E85"/>
    <w:rsid w:val="00C40F45"/>
    <w:rsid w:val="00C5548F"/>
    <w:rsid w:val="00C80D66"/>
    <w:rsid w:val="00C9401B"/>
    <w:rsid w:val="00CA29B0"/>
    <w:rsid w:val="00CE6BDD"/>
    <w:rsid w:val="00D17BCF"/>
    <w:rsid w:val="00D5350A"/>
    <w:rsid w:val="00D85325"/>
    <w:rsid w:val="00DE1848"/>
    <w:rsid w:val="00E009AB"/>
    <w:rsid w:val="00E17BB5"/>
    <w:rsid w:val="00E24D0A"/>
    <w:rsid w:val="00E46DA9"/>
    <w:rsid w:val="00ED4AE2"/>
    <w:rsid w:val="00F63B6F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58CC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3B8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B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z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55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21</cp:revision>
  <dcterms:created xsi:type="dcterms:W3CDTF">2019-12-17T12:50:00Z</dcterms:created>
  <dcterms:modified xsi:type="dcterms:W3CDTF">2021-02-04T14:39:00Z</dcterms:modified>
</cp:coreProperties>
</file>